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36" w:rsidRPr="000A6865" w:rsidRDefault="005A4D36" w:rsidP="00687A4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A6865">
        <w:rPr>
          <w:rFonts w:ascii="Arial" w:hAnsi="Arial" w:cs="Arial"/>
          <w:b/>
          <w:sz w:val="20"/>
          <w:szCs w:val="20"/>
        </w:rPr>
        <w:t xml:space="preserve">Rekrutacja do </w:t>
      </w:r>
      <w:r w:rsidR="00FA5545" w:rsidRPr="000A6865">
        <w:rPr>
          <w:rFonts w:ascii="Arial" w:hAnsi="Arial" w:cs="Arial"/>
          <w:b/>
          <w:sz w:val="20"/>
          <w:szCs w:val="20"/>
        </w:rPr>
        <w:t>klas I</w:t>
      </w:r>
      <w:r w:rsidRPr="000A6865">
        <w:rPr>
          <w:rFonts w:ascii="Arial" w:hAnsi="Arial" w:cs="Arial"/>
          <w:b/>
          <w:sz w:val="20"/>
          <w:szCs w:val="20"/>
        </w:rPr>
        <w:t xml:space="preserve"> szkół podstawowych prowadzonych przez Gminę Wisła</w:t>
      </w:r>
    </w:p>
    <w:p w:rsidR="005A4D36" w:rsidRDefault="00743CC7" w:rsidP="00687A4B">
      <w:pPr>
        <w:jc w:val="center"/>
        <w:rPr>
          <w:rFonts w:ascii="Arial" w:hAnsi="Arial" w:cs="Arial"/>
          <w:b/>
          <w:sz w:val="20"/>
          <w:szCs w:val="20"/>
        </w:rPr>
      </w:pPr>
      <w:r w:rsidRPr="000A6865">
        <w:rPr>
          <w:rFonts w:ascii="Arial" w:hAnsi="Arial" w:cs="Arial"/>
          <w:b/>
          <w:sz w:val="20"/>
          <w:szCs w:val="20"/>
        </w:rPr>
        <w:t xml:space="preserve">na rok szkolny </w:t>
      </w:r>
      <w:r w:rsidR="00986CCB" w:rsidRPr="000A6865">
        <w:rPr>
          <w:rFonts w:ascii="Arial" w:hAnsi="Arial" w:cs="Arial"/>
          <w:b/>
          <w:sz w:val="20"/>
          <w:szCs w:val="20"/>
        </w:rPr>
        <w:t>202</w:t>
      </w:r>
      <w:r w:rsidR="00DD6929">
        <w:rPr>
          <w:rFonts w:ascii="Arial" w:hAnsi="Arial" w:cs="Arial"/>
          <w:b/>
          <w:sz w:val="20"/>
          <w:szCs w:val="20"/>
        </w:rPr>
        <w:t>5</w:t>
      </w:r>
      <w:r w:rsidR="00986CCB" w:rsidRPr="000A6865">
        <w:rPr>
          <w:rFonts w:ascii="Arial" w:hAnsi="Arial" w:cs="Arial"/>
          <w:b/>
          <w:sz w:val="20"/>
          <w:szCs w:val="20"/>
        </w:rPr>
        <w:t>/202</w:t>
      </w:r>
      <w:r w:rsidR="00DD6929">
        <w:rPr>
          <w:rFonts w:ascii="Arial" w:hAnsi="Arial" w:cs="Arial"/>
          <w:b/>
          <w:sz w:val="20"/>
          <w:szCs w:val="20"/>
        </w:rPr>
        <w:t>6</w:t>
      </w:r>
    </w:p>
    <w:p w:rsidR="00687A4B" w:rsidRPr="000A6865" w:rsidRDefault="00687A4B" w:rsidP="00687A4B">
      <w:pPr>
        <w:rPr>
          <w:rFonts w:ascii="Arial" w:hAnsi="Arial" w:cs="Arial"/>
          <w:b/>
          <w:sz w:val="20"/>
          <w:szCs w:val="20"/>
        </w:rPr>
      </w:pPr>
    </w:p>
    <w:p w:rsidR="00CB7C8E" w:rsidRPr="000A6865" w:rsidRDefault="00CB7C8E" w:rsidP="00687A4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7C8E" w:rsidRDefault="00CB7C8E" w:rsidP="00687A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865">
        <w:rPr>
          <w:rFonts w:ascii="Arial" w:hAnsi="Arial" w:cs="Arial"/>
          <w:sz w:val="20"/>
          <w:szCs w:val="20"/>
        </w:rPr>
        <w:t xml:space="preserve">Zasady </w:t>
      </w:r>
      <w:r w:rsidR="00B7488C" w:rsidRPr="000A6865">
        <w:rPr>
          <w:rFonts w:ascii="Arial" w:hAnsi="Arial" w:cs="Arial"/>
          <w:sz w:val="20"/>
          <w:szCs w:val="20"/>
        </w:rPr>
        <w:t>przyjęcia</w:t>
      </w:r>
      <w:r w:rsidRPr="000A6865">
        <w:rPr>
          <w:rFonts w:ascii="Arial" w:hAnsi="Arial" w:cs="Arial"/>
          <w:sz w:val="20"/>
          <w:szCs w:val="20"/>
        </w:rPr>
        <w:t xml:space="preserve"> do klas 1 </w:t>
      </w:r>
      <w:r w:rsidR="00B7488C" w:rsidRPr="000A6865">
        <w:rPr>
          <w:rFonts w:ascii="Arial" w:hAnsi="Arial" w:cs="Arial"/>
          <w:sz w:val="20"/>
          <w:szCs w:val="20"/>
        </w:rPr>
        <w:t xml:space="preserve">szkół podstawowych </w:t>
      </w:r>
      <w:r w:rsidRPr="000A6865">
        <w:rPr>
          <w:rFonts w:ascii="Arial" w:hAnsi="Arial" w:cs="Arial"/>
          <w:sz w:val="20"/>
          <w:szCs w:val="20"/>
        </w:rPr>
        <w:t xml:space="preserve">określają przepisy ustawy z dnia 14 grudnia 2016r. Prawo oświatowe </w:t>
      </w:r>
      <w:r w:rsidR="006F5582" w:rsidRPr="000A6865">
        <w:rPr>
          <w:rFonts w:ascii="Arial" w:hAnsi="Arial" w:cs="Arial"/>
          <w:sz w:val="20"/>
          <w:szCs w:val="20"/>
        </w:rPr>
        <w:t>- art.130</w:t>
      </w:r>
      <w:r w:rsidR="000A6865">
        <w:rPr>
          <w:rFonts w:ascii="Arial" w:hAnsi="Arial" w:cs="Arial"/>
          <w:sz w:val="20"/>
          <w:szCs w:val="20"/>
        </w:rPr>
        <w:t xml:space="preserve">, </w:t>
      </w:r>
      <w:r w:rsidR="00E36B5C">
        <w:rPr>
          <w:rFonts w:ascii="Arial" w:hAnsi="Arial" w:cs="Arial"/>
          <w:sz w:val="20"/>
          <w:szCs w:val="20"/>
        </w:rPr>
        <w:t xml:space="preserve">art. </w:t>
      </w:r>
      <w:r w:rsidR="000A6865">
        <w:rPr>
          <w:rFonts w:ascii="Arial" w:hAnsi="Arial" w:cs="Arial"/>
          <w:sz w:val="20"/>
          <w:szCs w:val="20"/>
        </w:rPr>
        <w:t>133</w:t>
      </w:r>
      <w:r w:rsidR="006F5582" w:rsidRPr="000A6865">
        <w:rPr>
          <w:rFonts w:ascii="Arial" w:hAnsi="Arial" w:cs="Arial"/>
          <w:sz w:val="20"/>
          <w:szCs w:val="20"/>
        </w:rPr>
        <w:t>, art. 150-15</w:t>
      </w:r>
      <w:r w:rsidR="00E36B5C">
        <w:rPr>
          <w:rFonts w:ascii="Arial" w:hAnsi="Arial" w:cs="Arial"/>
          <w:sz w:val="20"/>
          <w:szCs w:val="20"/>
        </w:rPr>
        <w:t>2, art. 154-161.</w:t>
      </w:r>
    </w:p>
    <w:p w:rsidR="00687A4B" w:rsidRPr="000A6865" w:rsidRDefault="00687A4B" w:rsidP="00687A4B">
      <w:pPr>
        <w:spacing w:line="276" w:lineRule="auto"/>
        <w:rPr>
          <w:rFonts w:ascii="Arial" w:hAnsi="Arial" w:cs="Arial"/>
          <w:sz w:val="20"/>
          <w:szCs w:val="20"/>
        </w:rPr>
      </w:pPr>
    </w:p>
    <w:p w:rsidR="00CB7C8E" w:rsidRPr="000A6865" w:rsidRDefault="00CB7C8E" w:rsidP="00687A4B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A6A" w:rsidRPr="000A6865" w:rsidTr="00001A6A">
        <w:tc>
          <w:tcPr>
            <w:tcW w:w="9212" w:type="dxa"/>
            <w:shd w:val="clear" w:color="auto" w:fill="BFBFBF" w:themeFill="background1" w:themeFillShade="BF"/>
          </w:tcPr>
          <w:p w:rsidR="00001A6A" w:rsidRPr="000A6865" w:rsidRDefault="00001A6A" w:rsidP="00687A4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6865">
              <w:rPr>
                <w:rFonts w:ascii="Arial" w:hAnsi="Arial" w:cs="Arial"/>
                <w:b/>
                <w:sz w:val="20"/>
                <w:szCs w:val="20"/>
              </w:rPr>
              <w:t>ZGŁOSZENIE dziecka zamieszkałego w obwodzie danej szkoły podstawowej</w:t>
            </w:r>
          </w:p>
        </w:tc>
      </w:tr>
      <w:tr w:rsidR="00001A6A" w:rsidRPr="000A6865" w:rsidTr="004D1AB1">
        <w:tc>
          <w:tcPr>
            <w:tcW w:w="9212" w:type="dxa"/>
          </w:tcPr>
          <w:p w:rsidR="00001A6A" w:rsidRPr="000A6865" w:rsidRDefault="00001A6A" w:rsidP="00687A4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6A" w:rsidRPr="00C0367D" w:rsidRDefault="00001A6A" w:rsidP="00687A4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 xml:space="preserve">Do klasy </w:t>
            </w:r>
            <w:r w:rsidR="00B7488C" w:rsidRPr="000A6865">
              <w:rPr>
                <w:rFonts w:ascii="Arial" w:hAnsi="Arial" w:cs="Arial"/>
                <w:sz w:val="20"/>
                <w:szCs w:val="20"/>
              </w:rPr>
              <w:t>1</w:t>
            </w:r>
            <w:r w:rsidRPr="000A6865">
              <w:rPr>
                <w:rFonts w:ascii="Arial" w:hAnsi="Arial" w:cs="Arial"/>
                <w:sz w:val="20"/>
                <w:szCs w:val="20"/>
              </w:rPr>
              <w:t xml:space="preserve"> publicznej szkoły podstawowej, której ustalono obwód, przyjmuje się na podstawie zgłoszenia rodziców dzieci zamieszkałe </w:t>
            </w:r>
            <w:r w:rsidRPr="000A6865">
              <w:rPr>
                <w:rFonts w:ascii="Arial" w:hAnsi="Arial" w:cs="Arial"/>
                <w:sz w:val="20"/>
                <w:szCs w:val="20"/>
                <w:u w:val="single"/>
              </w:rPr>
              <w:t>w obwodzie</w:t>
            </w:r>
            <w:r w:rsidR="00B7488C" w:rsidRPr="000A6865">
              <w:rPr>
                <w:rFonts w:ascii="Arial" w:hAnsi="Arial" w:cs="Arial"/>
                <w:sz w:val="20"/>
                <w:szCs w:val="20"/>
                <w:u w:val="single"/>
              </w:rPr>
              <w:t xml:space="preserve"> tej szkoły</w:t>
            </w:r>
            <w:r w:rsidRPr="000A6865">
              <w:rPr>
                <w:rFonts w:ascii="Arial" w:hAnsi="Arial" w:cs="Arial"/>
                <w:sz w:val="20"/>
                <w:szCs w:val="20"/>
              </w:rPr>
              <w:t xml:space="preserve">. Zgłoszenia dziecka do klasy 1 należy dokonać </w:t>
            </w:r>
            <w:r w:rsidRPr="00C036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 </w:t>
            </w:r>
            <w:r w:rsidR="00C0367D">
              <w:rPr>
                <w:rFonts w:ascii="Arial" w:hAnsi="Arial" w:cs="Arial"/>
                <w:b/>
                <w:sz w:val="20"/>
                <w:szCs w:val="20"/>
                <w:u w:val="single"/>
              </w:rPr>
              <w:t>terminie od 1 do 31 marca</w:t>
            </w:r>
            <w:r w:rsidRPr="00C036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202</w:t>
            </w:r>
            <w:r w:rsidR="00DD6929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Pr="00C036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r.</w:t>
            </w:r>
          </w:p>
          <w:p w:rsidR="00001A6A" w:rsidRPr="000A6865" w:rsidRDefault="00001A6A" w:rsidP="00687A4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A6A" w:rsidRPr="000A6865" w:rsidTr="00001A6A">
        <w:tc>
          <w:tcPr>
            <w:tcW w:w="9212" w:type="dxa"/>
            <w:shd w:val="clear" w:color="auto" w:fill="BFBFBF" w:themeFill="background1" w:themeFillShade="BF"/>
          </w:tcPr>
          <w:p w:rsidR="00001A6A" w:rsidRPr="000A6865" w:rsidRDefault="00001A6A" w:rsidP="00687A4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6865">
              <w:rPr>
                <w:rFonts w:ascii="Arial" w:hAnsi="Arial" w:cs="Arial"/>
                <w:b/>
                <w:sz w:val="20"/>
                <w:szCs w:val="20"/>
              </w:rPr>
              <w:t>REKRUTACJA dla kandydatów zamieszkałych poza obwodem danej szkoły podstawowej</w:t>
            </w:r>
          </w:p>
        </w:tc>
      </w:tr>
      <w:tr w:rsidR="00001A6A" w:rsidRPr="000A6865" w:rsidTr="00554D01">
        <w:tc>
          <w:tcPr>
            <w:tcW w:w="9212" w:type="dxa"/>
          </w:tcPr>
          <w:p w:rsidR="00001A6A" w:rsidRPr="000A6865" w:rsidRDefault="00001A6A" w:rsidP="00687A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1A6A" w:rsidRPr="000A6865" w:rsidRDefault="00001A6A" w:rsidP="00687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Kandydaci zamieszkali</w:t>
            </w:r>
            <w:r w:rsidRPr="000A6865">
              <w:rPr>
                <w:rFonts w:ascii="Arial" w:hAnsi="Arial" w:cs="Arial"/>
                <w:sz w:val="20"/>
                <w:szCs w:val="20"/>
                <w:u w:val="single"/>
              </w:rPr>
              <w:t xml:space="preserve"> poza obwodem publicznej szkoły podstawowej</w:t>
            </w:r>
            <w:r w:rsidRPr="000A6865">
              <w:rPr>
                <w:rFonts w:ascii="Arial" w:hAnsi="Arial" w:cs="Arial"/>
                <w:sz w:val="20"/>
                <w:szCs w:val="20"/>
              </w:rPr>
              <w:t xml:space="preserve"> mogą być przyjęci do klasy </w:t>
            </w:r>
            <w:r w:rsidR="00B7488C" w:rsidRPr="000A6865">
              <w:rPr>
                <w:rFonts w:ascii="Arial" w:hAnsi="Arial" w:cs="Arial"/>
                <w:sz w:val="20"/>
                <w:szCs w:val="20"/>
              </w:rPr>
              <w:t>1</w:t>
            </w:r>
            <w:r w:rsidRPr="000A6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582" w:rsidRPr="000A6865">
              <w:rPr>
                <w:rFonts w:ascii="Arial" w:hAnsi="Arial" w:cs="Arial"/>
                <w:sz w:val="20"/>
                <w:szCs w:val="20"/>
              </w:rPr>
              <w:t xml:space="preserve">tej szkoły </w:t>
            </w:r>
            <w:r w:rsidRPr="000A6865">
              <w:rPr>
                <w:rFonts w:ascii="Arial" w:hAnsi="Arial" w:cs="Arial"/>
                <w:sz w:val="20"/>
                <w:szCs w:val="20"/>
              </w:rPr>
              <w:t>po przeprowadzeniu postępowania rekrutacyjnego, jeżeli dana publiczna szkoła podstawowa nadal dysponuje wolnymi miejscami. W postępowaniu rekrutacyjnym są brane pod uwagę kryteria określone przez organ prowadzący, którym przyznaje się określoną liczbę punktów. Dokumentami niezbędnymi do potwierdzenia spełniania tych kryteriów są oświadczenia rodziców</w:t>
            </w:r>
            <w:r w:rsidR="006F5582" w:rsidRPr="000A6865">
              <w:rPr>
                <w:rFonts w:ascii="Arial" w:hAnsi="Arial" w:cs="Arial"/>
                <w:sz w:val="20"/>
                <w:szCs w:val="20"/>
              </w:rPr>
              <w:t xml:space="preserve"> (wzory dokumentów do pobrania poniżej)</w:t>
            </w:r>
            <w:r w:rsidRPr="000A68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1A6A" w:rsidRPr="000A6865" w:rsidRDefault="00001A6A" w:rsidP="00687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A6A" w:rsidRDefault="00001A6A" w:rsidP="00687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 xml:space="preserve">Kryteria określone przez Radę Miasta w uchwale nr XIV/204/2016 </w:t>
            </w:r>
            <w:r w:rsidR="006F5582" w:rsidRPr="000A6865">
              <w:rPr>
                <w:rFonts w:ascii="Arial" w:hAnsi="Arial" w:cs="Arial"/>
                <w:sz w:val="20"/>
                <w:szCs w:val="20"/>
              </w:rPr>
              <w:t xml:space="preserve">z dnia 28 stycznia 2016 r. </w:t>
            </w:r>
            <w:r w:rsidRPr="000A6865">
              <w:rPr>
                <w:rFonts w:ascii="Arial" w:hAnsi="Arial" w:cs="Arial"/>
                <w:sz w:val="20"/>
                <w:szCs w:val="20"/>
              </w:rPr>
              <w:t>w sprawie</w:t>
            </w:r>
            <w:r w:rsidR="006F5582" w:rsidRPr="000A6865">
              <w:rPr>
                <w:rFonts w:ascii="Arial" w:hAnsi="Arial" w:cs="Arial"/>
                <w:sz w:val="20"/>
                <w:szCs w:val="20"/>
              </w:rPr>
              <w:t xml:space="preserve"> określenia kryteriów, które będą brane pod uwagę w postępowaniu rekrutacyjnym do szkół prowadzonych przez Gminę Wisła przy rozpatrywaniu wniosków o przyjęcie kandydatów zamieszkałych poza obwodem danej szkoły</w:t>
            </w:r>
            <w:r w:rsidRPr="000A686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865" w:rsidRPr="000A6865" w:rsidRDefault="000A6865" w:rsidP="00687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rodzeństwo kandydata już uczęszcza do szkoły, w której został złożony wniosek o przyjęcie – 12 pkt.</w:t>
            </w: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jedno z rodziców/prawnych opiekunów kandydata pracuje w obwodzie szkoły, do której został złożony wniosek o przyjęcie – 10 pkt.</w:t>
            </w: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rodzic kandydata jest absolwentem szkoły, do której został złożony wniosek o przyjęcie – 8 pkt.</w:t>
            </w: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kandydat mieszkający w odległości do 4 km od szkoły, w której został złożony wniosek o przyjęcie – 6 pkt.</w:t>
            </w: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kandydat mieszkający w odległości powyżej 4 km do 5 km od szkoły, w której został złożony wniosek o przyjęcie – 4 pkt.</w:t>
            </w:r>
          </w:p>
          <w:p w:rsidR="00001A6A" w:rsidRPr="000A6865" w:rsidRDefault="00001A6A" w:rsidP="00687A4B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865">
              <w:rPr>
                <w:rFonts w:ascii="Arial" w:hAnsi="Arial" w:cs="Arial"/>
                <w:sz w:val="20"/>
                <w:szCs w:val="20"/>
              </w:rPr>
              <w:t>kandydat mieszkający w odległości powyżej 5 km od szkoły, w której został złożony wniosek o przyjęcie – 2 pkt.</w:t>
            </w:r>
          </w:p>
        </w:tc>
      </w:tr>
    </w:tbl>
    <w:p w:rsidR="00001A6A" w:rsidRPr="000A6865" w:rsidRDefault="00001A6A" w:rsidP="00687A4B">
      <w:pPr>
        <w:rPr>
          <w:rFonts w:ascii="Arial" w:hAnsi="Arial" w:cs="Arial"/>
          <w:b/>
          <w:sz w:val="20"/>
          <w:szCs w:val="20"/>
        </w:rPr>
      </w:pPr>
    </w:p>
    <w:p w:rsidR="00001A6A" w:rsidRPr="000A6865" w:rsidRDefault="00001A6A" w:rsidP="00687A4B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01A6A" w:rsidRPr="000A6865" w:rsidRDefault="00001A6A" w:rsidP="00687A4B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F5582" w:rsidRPr="000A6865" w:rsidRDefault="006F5582" w:rsidP="00687A4B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0A6865">
        <w:rPr>
          <w:rFonts w:ascii="Arial" w:hAnsi="Arial" w:cs="Arial"/>
          <w:sz w:val="20"/>
          <w:szCs w:val="20"/>
        </w:rPr>
        <w:t>Na podstawie Zarządzenia Nr Or.0050.</w:t>
      </w:r>
      <w:r w:rsidR="00DD6929">
        <w:rPr>
          <w:rFonts w:ascii="Arial" w:hAnsi="Arial" w:cs="Arial"/>
          <w:sz w:val="20"/>
          <w:szCs w:val="20"/>
        </w:rPr>
        <w:t>21</w:t>
      </w:r>
      <w:r w:rsidRPr="000A6865">
        <w:rPr>
          <w:rFonts w:ascii="Arial" w:hAnsi="Arial" w:cs="Arial"/>
          <w:sz w:val="20"/>
          <w:szCs w:val="20"/>
        </w:rPr>
        <w:t>.202</w:t>
      </w:r>
      <w:r w:rsidR="00DD6929">
        <w:rPr>
          <w:rFonts w:ascii="Arial" w:hAnsi="Arial" w:cs="Arial"/>
          <w:sz w:val="20"/>
          <w:szCs w:val="20"/>
        </w:rPr>
        <w:t>5</w:t>
      </w:r>
      <w:r w:rsidRPr="000A6865">
        <w:rPr>
          <w:rFonts w:ascii="Arial" w:hAnsi="Arial" w:cs="Arial"/>
          <w:sz w:val="20"/>
          <w:szCs w:val="20"/>
        </w:rPr>
        <w:t xml:space="preserve"> z dnia </w:t>
      </w:r>
      <w:r w:rsidR="00DD6929">
        <w:rPr>
          <w:rFonts w:ascii="Arial" w:hAnsi="Arial" w:cs="Arial"/>
          <w:sz w:val="20"/>
          <w:szCs w:val="20"/>
        </w:rPr>
        <w:t>20</w:t>
      </w:r>
      <w:r w:rsidRPr="000A6865">
        <w:rPr>
          <w:rFonts w:ascii="Arial" w:hAnsi="Arial" w:cs="Arial"/>
          <w:sz w:val="20"/>
          <w:szCs w:val="20"/>
        </w:rPr>
        <w:t xml:space="preserve"> stycznia 202</w:t>
      </w:r>
      <w:r w:rsidR="00DD6929">
        <w:rPr>
          <w:rFonts w:ascii="Arial" w:hAnsi="Arial" w:cs="Arial"/>
          <w:sz w:val="20"/>
          <w:szCs w:val="20"/>
        </w:rPr>
        <w:t>5</w:t>
      </w:r>
      <w:r w:rsidRPr="000A6865">
        <w:rPr>
          <w:rFonts w:ascii="Arial" w:hAnsi="Arial" w:cs="Arial"/>
          <w:sz w:val="20"/>
          <w:szCs w:val="20"/>
        </w:rPr>
        <w:t xml:space="preserve"> r. Burmistrz Miasta Wisła ustalił harmonogram czynności w postępowaniu rekrutacyjnym oraz postępowaniu uzupełniającym do</w:t>
      </w:r>
      <w:r w:rsidRPr="000A6865">
        <w:rPr>
          <w:rFonts w:ascii="Arial" w:eastAsiaTheme="minorHAnsi" w:hAnsi="Arial" w:cs="Arial"/>
          <w:sz w:val="20"/>
          <w:szCs w:val="20"/>
          <w:lang w:eastAsia="en-US"/>
        </w:rPr>
        <w:t xml:space="preserve"> klas pierwszych szkół podstawowych prowadzonych przez Gminę Wisła na rok szkolny 202</w:t>
      </w:r>
      <w:r w:rsidR="00DD6929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0A6865">
        <w:rPr>
          <w:rFonts w:ascii="Arial" w:eastAsiaTheme="minorHAnsi" w:hAnsi="Arial" w:cs="Arial"/>
          <w:sz w:val="20"/>
          <w:szCs w:val="20"/>
          <w:lang w:eastAsia="en-US"/>
        </w:rPr>
        <w:t>/202</w:t>
      </w:r>
      <w:r w:rsidR="00DD6929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0A6865">
        <w:rPr>
          <w:rFonts w:ascii="Arial" w:eastAsiaTheme="minorHAnsi" w:hAnsi="Arial" w:cs="Arial"/>
          <w:sz w:val="20"/>
          <w:szCs w:val="20"/>
          <w:lang w:eastAsia="en-US"/>
        </w:rPr>
        <w:t xml:space="preserve"> dla kandydatów </w:t>
      </w:r>
      <w:r w:rsidRPr="000A6865">
        <w:rPr>
          <w:rFonts w:ascii="Arial" w:eastAsiaTheme="minorHAnsi" w:hAnsi="Arial" w:cs="Arial"/>
          <w:sz w:val="20"/>
          <w:szCs w:val="20"/>
          <w:u w:val="single"/>
          <w:lang w:eastAsia="en-US"/>
        </w:rPr>
        <w:t>zamieszkałych poza obwodem szkoły .</w:t>
      </w:r>
    </w:p>
    <w:p w:rsidR="006F5582" w:rsidRPr="000A6865" w:rsidRDefault="006F5582" w:rsidP="00687A4B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:rsidR="006F5582" w:rsidRPr="000A6865" w:rsidRDefault="006F5582" w:rsidP="00687A4B">
      <w:pPr>
        <w:spacing w:line="360" w:lineRule="auto"/>
        <w:rPr>
          <w:rFonts w:ascii="Arial" w:hAnsi="Arial" w:cs="Arial"/>
          <w:sz w:val="20"/>
          <w:szCs w:val="20"/>
        </w:rPr>
      </w:pPr>
      <w:r w:rsidRPr="000A6865">
        <w:rPr>
          <w:rFonts w:ascii="Arial" w:hAnsi="Arial" w:cs="Arial"/>
          <w:sz w:val="20"/>
          <w:szCs w:val="20"/>
        </w:rPr>
        <w:lastRenderedPageBreak/>
        <w:t xml:space="preserve">Poniżej </w:t>
      </w:r>
      <w:r w:rsidR="00C0367D">
        <w:rPr>
          <w:rFonts w:ascii="Arial" w:hAnsi="Arial" w:cs="Arial"/>
          <w:sz w:val="20"/>
          <w:szCs w:val="20"/>
        </w:rPr>
        <w:t>szczegółowy</w:t>
      </w:r>
      <w:r w:rsidRPr="000A6865">
        <w:rPr>
          <w:rFonts w:ascii="Arial" w:hAnsi="Arial" w:cs="Arial"/>
          <w:sz w:val="20"/>
          <w:szCs w:val="20"/>
        </w:rPr>
        <w:t xml:space="preserve"> harmonogram: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663"/>
        <w:gridCol w:w="3023"/>
        <w:gridCol w:w="3148"/>
        <w:gridCol w:w="2806"/>
      </w:tblGrid>
      <w:tr w:rsidR="00DD6929" w:rsidRPr="00FC1767" w:rsidTr="003240F0">
        <w:tc>
          <w:tcPr>
            <w:tcW w:w="663" w:type="dxa"/>
            <w:shd w:val="clear" w:color="auto" w:fill="D9D9D9" w:themeFill="background1" w:themeFillShade="D9"/>
          </w:tcPr>
          <w:p w:rsidR="00DD6929" w:rsidRDefault="00DD6929" w:rsidP="00DD692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czynności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Termin  </w:t>
            </w:r>
          </w:p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 postępowaniu rekrutacyjnym </w:t>
            </w:r>
          </w:p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</w:tcPr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Termin  </w:t>
            </w:r>
          </w:p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 postępowaniu uzupełniającym </w:t>
            </w:r>
          </w:p>
          <w:p w:rsidR="00DD6929" w:rsidRDefault="00DD6929" w:rsidP="00DD69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D6929" w:rsidRPr="009F728E" w:rsidTr="003240F0">
        <w:trPr>
          <w:trHeight w:val="1678"/>
        </w:trPr>
        <w:tc>
          <w:tcPr>
            <w:tcW w:w="663" w:type="dxa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23" w:type="dxa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Złożenie wniosku o przyjęcie do klasy I szkoły podstawowej wraz z dokumentami potwierdzającymi spełnianie przez kandydata kryteriów branych pod uwagę w postępowaniu rekrutacyjnym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14 maja do 6 czerwca 2025 r.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18 do 22 sierpnia 2025 r.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</w:tr>
      <w:tr w:rsidR="00DD6929" w:rsidRPr="009F728E" w:rsidTr="003240F0">
        <w:tc>
          <w:tcPr>
            <w:tcW w:w="66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2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Weryfikacja przez komisję rekrutacyjną wniosków o przyjęcie do klasy I szkoły podstawowej  i dokumentów potwierdzających spełnianie przez kandydata kryteriów branych pod uwagę w postępowaniu rekrutacyjnym, w tym dokonanie przez przewodniczącego komisji rekrutacyjnej czynności, o których mowa w art. 150 ust. 7 ustawy Prawo oświatowe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9  do 13 czerwca 2025 r.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25 do 26 sierpnia 2025 r.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</w:tr>
      <w:tr w:rsidR="00DD6929" w:rsidRPr="009F728E" w:rsidTr="003240F0">
        <w:tc>
          <w:tcPr>
            <w:tcW w:w="66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2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Podanie do publicznej wiadomości przez komisję rekrutacyjną listy kandydatów zakwalifikowanych i kandydatów niezakwalifikowanych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 czerwca 2025 r.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 sierpnia 2025 r.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</w:tr>
      <w:tr w:rsidR="00DD6929" w:rsidRPr="009F728E" w:rsidTr="003240F0">
        <w:tc>
          <w:tcPr>
            <w:tcW w:w="66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2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Potwierdzenie przez rodzica kandydata woli przyjęcia do klasy I szkoły podstawowej w postaci pisemnego oświadczenia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17 do 20 czerwca 2025 r.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 sierpnia 2025 r.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</w:tr>
      <w:tr w:rsidR="00DD6929" w:rsidRPr="009F728E" w:rsidTr="003240F0">
        <w:tc>
          <w:tcPr>
            <w:tcW w:w="66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023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Podanie do publicznej wiadomości przez komisję rekrutacyjną listy kandydatów przyjętych i kandydatów nieprzyjętych 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czerwca 2025 r.</w:t>
            </w:r>
          </w:p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DD6929" w:rsidRDefault="00DD6929" w:rsidP="00DD6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sierpnia 2025 r.</w:t>
            </w:r>
          </w:p>
        </w:tc>
      </w:tr>
    </w:tbl>
    <w:p w:rsidR="00C244DE" w:rsidRPr="000A6865" w:rsidRDefault="00C244DE" w:rsidP="00687A4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244DE" w:rsidRPr="000A6865" w:rsidRDefault="00C244DE" w:rsidP="00687A4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244DE" w:rsidRPr="000A6865" w:rsidRDefault="00C244DE" w:rsidP="00687A4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244DE" w:rsidRPr="000A6865" w:rsidRDefault="00C244DE" w:rsidP="00687A4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371176" w:rsidRPr="000A6865" w:rsidRDefault="00371176" w:rsidP="00687A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71176" w:rsidRPr="000A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623"/>
    <w:multiLevelType w:val="hybridMultilevel"/>
    <w:tmpl w:val="2E8AD012"/>
    <w:lvl w:ilvl="0" w:tplc="F56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4AC4"/>
    <w:multiLevelType w:val="hybridMultilevel"/>
    <w:tmpl w:val="51708524"/>
    <w:lvl w:ilvl="0" w:tplc="492EE0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B4507"/>
    <w:multiLevelType w:val="hybridMultilevel"/>
    <w:tmpl w:val="AFA87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87B46"/>
    <w:multiLevelType w:val="hybridMultilevel"/>
    <w:tmpl w:val="749E5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6"/>
    <w:rsid w:val="00001A6A"/>
    <w:rsid w:val="00072E4F"/>
    <w:rsid w:val="000A6865"/>
    <w:rsid w:val="001960CA"/>
    <w:rsid w:val="00291931"/>
    <w:rsid w:val="003550EF"/>
    <w:rsid w:val="00371176"/>
    <w:rsid w:val="00432AB1"/>
    <w:rsid w:val="00500CA9"/>
    <w:rsid w:val="005A4D36"/>
    <w:rsid w:val="005C3EA2"/>
    <w:rsid w:val="006763D5"/>
    <w:rsid w:val="00687A4B"/>
    <w:rsid w:val="006F5582"/>
    <w:rsid w:val="00743CC7"/>
    <w:rsid w:val="007D77EF"/>
    <w:rsid w:val="008D00D9"/>
    <w:rsid w:val="00986CCB"/>
    <w:rsid w:val="00A46469"/>
    <w:rsid w:val="00B7488C"/>
    <w:rsid w:val="00BC11B2"/>
    <w:rsid w:val="00C0367D"/>
    <w:rsid w:val="00C244DE"/>
    <w:rsid w:val="00CB7C8E"/>
    <w:rsid w:val="00D7034A"/>
    <w:rsid w:val="00DA5E8C"/>
    <w:rsid w:val="00DD0114"/>
    <w:rsid w:val="00DD6929"/>
    <w:rsid w:val="00DF5574"/>
    <w:rsid w:val="00E36B5C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BAF94-07AD-4425-A6FF-E679762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4D36"/>
    <w:rPr>
      <w:color w:val="0000FF"/>
      <w:u w:val="single"/>
    </w:rPr>
  </w:style>
  <w:style w:type="table" w:styleId="Tabela-Siatka">
    <w:name w:val="Table Grid"/>
    <w:basedOn w:val="Standardowy"/>
    <w:uiPriority w:val="39"/>
    <w:rsid w:val="005A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5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Sekretariat SP1 Wisła</cp:lastModifiedBy>
  <cp:revision>2</cp:revision>
  <cp:lastPrinted>2025-01-31T09:13:00Z</cp:lastPrinted>
  <dcterms:created xsi:type="dcterms:W3CDTF">2025-01-31T09:13:00Z</dcterms:created>
  <dcterms:modified xsi:type="dcterms:W3CDTF">2025-01-31T09:13:00Z</dcterms:modified>
</cp:coreProperties>
</file>